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16.png" ContentType="image/png"/>
  <Override PartName="/word/media/rId20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2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Доберштейн Алина 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инструментом для измерения пропускной способности сети в режиме реального времени —iPerf3, а также получение навыков проведения интерактивного эксперимента по измерению пропускной способности моделируемой сети в среде Mininet.</w:t>
      </w:r>
    </w:p>
    <w:bookmarkEnd w:id="9"/>
    <w:bookmarkStart w:id="10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на виртуальную машину mininet iPerf3 и дополнительное программное обеспечениядля визуализации и обработки данных.</w:t>
      </w:r>
    </w:p>
    <w:p>
      <w:pPr>
        <w:pStyle w:val="Compact"/>
        <w:numPr>
          <w:ilvl w:val="0"/>
          <w:numId w:val="1001"/>
        </w:numPr>
      </w:pPr>
      <w:r>
        <w:t xml:space="preserve">Провести ряд интерактивных экспериментов по измерению пропускной способности с помощью iPerf3 с построением графиков.</w:t>
      </w:r>
    </w:p>
    <w:bookmarkEnd w:id="10"/>
    <w:bookmarkStart w:id="1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контексте сеанса связи между двумя конечными устройствами на сетевом пути под пропускной способностью (throughput) понимается скорость в битах в секунду,с которой процесс-отправитель может доставлять данные процессу получателю. В тоже время под полосой пропускания (Bandwidth) понимается физическое свойство среды передачи данных, зависящее, например, от конструкции и длины провода или волокна. Иногда термины «пропускная способность» (throughput) и «полоса пропускания» (bandwidth) используются взаимозаменяемо.</w:t>
      </w:r>
      <w:r>
        <w:t xml:space="preserve"> </w:t>
      </w:r>
      <w:r>
        <w:t xml:space="preserve">iPerf3 представляет собой кроссплатформенное клиент-серверное приложение с открытым исходным кодом, которое можно использовать для измерения пропускной способности между двумя конечнымиустройствами.</w:t>
      </w:r>
    </w:p>
    <w:bookmarkEnd w:id="1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4" w:name="X5adf9b6c013e52a64702e9558fe8b002a18a986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необходимого программного обеспечения</w:t>
      </w:r>
    </w:p>
    <w:p>
      <w:pPr>
        <w:pStyle w:val="FirstParagraph"/>
      </w:pPr>
      <w:r>
        <w:t xml:space="preserve">Запустила виртуальную машину mininet, из основной ОС подключилась к miniet по ssh. Затем посмотрела IP-адреса машины. (рис. 1).</w:t>
      </w:r>
    </w:p>
    <w:bookmarkStart w:id="15" w:name="fig:001"/>
    <w:p>
      <w:pPr>
        <w:pStyle w:val="CaptionedFigure"/>
      </w:pPr>
      <w:r>
        <w:drawing>
          <wp:inline>
            <wp:extent cx="3150131" cy="2958634"/>
            <wp:effectExtent b="0" l="0" r="0" t="0"/>
            <wp:docPr descr="Рис. 1: Подключение к mininet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131" cy="2958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к mininet</w:t>
      </w:r>
    </w:p>
    <w:bookmarkEnd w:id="15"/>
    <w:p>
      <w:pPr>
        <w:pStyle w:val="BodyText"/>
      </w:pPr>
      <w:r>
        <w:t xml:space="preserve">Обновила репозитории программного обеспечения на виртуальной машине (рис. 2).</w:t>
      </w:r>
    </w:p>
    <w:bookmarkStart w:id="19" w:name="fig:002"/>
    <w:p>
      <w:pPr>
        <w:pStyle w:val="CaptionedFigure"/>
      </w:pPr>
      <w:r>
        <w:drawing>
          <wp:inline>
            <wp:extent cx="3733800" cy="1020010"/>
            <wp:effectExtent b="0" l="0" r="0" t="0"/>
            <wp:docPr descr="Рис. 2: Обновление репозиториев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Обновление репозиториев</w:t>
      </w:r>
    </w:p>
    <w:bookmarkEnd w:id="19"/>
    <w:p>
      <w:pPr>
        <w:pStyle w:val="BodyText"/>
      </w:pPr>
      <w:r>
        <w:t xml:space="preserve">Установила iperf3 (рис. 3).</w:t>
      </w:r>
    </w:p>
    <w:bookmarkStart w:id="23" w:name="fig:003"/>
    <w:p>
      <w:pPr>
        <w:pStyle w:val="CaptionedFigure"/>
      </w:pPr>
      <w:r>
        <w:drawing>
          <wp:inline>
            <wp:extent cx="3733800" cy="841723"/>
            <wp:effectExtent b="0" l="0" r="0" t="0"/>
            <wp:docPr descr="Рис. 3: Установка iperf3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1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iperf3</w:t>
      </w:r>
    </w:p>
    <w:bookmarkEnd w:id="23"/>
    <w:bookmarkEnd w:id="24"/>
    <w:bookmarkStart w:id="89" w:name="интерактивные-эксперименты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Интерактивные эксперименты</w:t>
      </w:r>
    </w:p>
    <w:p>
      <w:pPr>
        <w:pStyle w:val="FirstParagraph"/>
      </w:pPr>
      <w:r>
        <w:t xml:space="preserve">Запустила простейшую топологию с двумя хостами и коммутатором (рис. 4).</w:t>
      </w:r>
    </w:p>
    <w:bookmarkStart w:id="28" w:name="fig:004"/>
    <w:p>
      <w:pPr>
        <w:pStyle w:val="CaptionedFigure"/>
      </w:pPr>
      <w:r>
        <w:drawing>
          <wp:inline>
            <wp:extent cx="3733800" cy="502504"/>
            <wp:effectExtent b="0" l="0" r="0" t="0"/>
            <wp:docPr descr="Рис. 4: Запуск простейшей топологии" title="" id="26" name="Picture"/>
            <a:graphic>
              <a:graphicData uri="http://schemas.openxmlformats.org/drawingml/2006/picture">
                <pic:pic>
                  <pic:nvPicPr>
                    <pic:cNvPr descr="image/4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2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простейшей топологии</w:t>
      </w:r>
    </w:p>
    <w:bookmarkEnd w:id="28"/>
    <w:p>
      <w:pPr>
        <w:pStyle w:val="BodyText"/>
      </w:pPr>
      <w:r>
        <w:t xml:space="preserve">Посмотрела параметры запущенной в интерактивном режиме топологии (рис. 5-6).</w:t>
      </w:r>
    </w:p>
    <w:bookmarkStart w:id="32" w:name="fig:005"/>
    <w:p>
      <w:pPr>
        <w:pStyle w:val="CaptionedFigure"/>
      </w:pPr>
      <w:r>
        <w:drawing>
          <wp:inline>
            <wp:extent cx="3332054" cy="727690"/>
            <wp:effectExtent b="0" l="0" r="0" t="0"/>
            <wp:docPr descr="Рис. 5: Параметры топологии" title="" id="30" name="Picture"/>
            <a:graphic>
              <a:graphicData uri="http://schemas.openxmlformats.org/drawingml/2006/picture">
                <pic:pic>
                  <pic:nvPicPr>
                    <pic:cNvPr descr="image/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54" cy="72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Параметры топологии</w:t>
      </w:r>
    </w:p>
    <w:bookmarkEnd w:id="32"/>
    <w:bookmarkStart w:id="36" w:name="fig:006"/>
    <w:p>
      <w:pPr>
        <w:pStyle w:val="CaptionedFigure"/>
      </w:pPr>
      <w:r>
        <w:drawing>
          <wp:inline>
            <wp:extent cx="3733800" cy="720557"/>
            <wp:effectExtent b="0" l="0" r="0" t="0"/>
            <wp:docPr descr="Рис. 6: Параметры топологии" title="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Параметры топологии</w:t>
      </w:r>
    </w:p>
    <w:bookmarkEnd w:id="36"/>
    <w:p>
      <w:pPr>
        <w:pStyle w:val="BodyText"/>
      </w:pPr>
      <w:r>
        <w:t xml:space="preserve">В терминале h2 запустила сервер iperf3, после запуска в терминале хоста h1 запустила клиент iperf3. (рис. 7-8).</w:t>
      </w:r>
    </w:p>
    <w:bookmarkStart w:id="40" w:name="fig:007"/>
    <w:p>
      <w:pPr>
        <w:pStyle w:val="CaptionedFigure"/>
      </w:pPr>
      <w:r>
        <w:drawing>
          <wp:inline>
            <wp:extent cx="3733800" cy="2069334"/>
            <wp:effectExtent b="0" l="0" r="0" t="0"/>
            <wp:docPr descr="Рис. 7: Терминал хоста h1" title="" id="38" name="Picture"/>
            <a:graphic>
              <a:graphicData uri="http://schemas.openxmlformats.org/drawingml/2006/picture">
                <pic:pic>
                  <pic:nvPicPr>
                    <pic:cNvPr descr="image/7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9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Терминал хоста h1</w:t>
      </w:r>
    </w:p>
    <w:bookmarkEnd w:id="40"/>
    <w:bookmarkStart w:id="44" w:name="fig:008"/>
    <w:p>
      <w:pPr>
        <w:pStyle w:val="CaptionedFigure"/>
      </w:pPr>
      <w:r>
        <w:drawing>
          <wp:inline>
            <wp:extent cx="2575639" cy="1905398"/>
            <wp:effectExtent b="0" l="0" r="0" t="0"/>
            <wp:docPr descr="Рис. 8: Терминал хоста h2" title="" id="42" name="Picture"/>
            <a:graphic>
              <a:graphicData uri="http://schemas.openxmlformats.org/drawingml/2006/picture">
                <pic:pic>
                  <pic:nvPicPr>
                    <pic:cNvPr descr="image/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639" cy="1905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Терминал хоста h2</w:t>
      </w:r>
    </w:p>
    <w:bookmarkEnd w:id="44"/>
    <w:p>
      <w:pPr>
        <w:pStyle w:val="BodyText"/>
      </w:pPr>
      <w:r>
        <w:t xml:space="preserve">В результате выполнения теста получили сводный отчёт,отобразившийся как на клиенте, так и на сервере iPerf3, содержащий следующие данные:</w:t>
      </w:r>
      <w:r>
        <w:t xml:space="preserve"> </w:t>
      </w:r>
      <w:r>
        <w:t xml:space="preserve">– ID: идентификационный номер соединения.</w:t>
      </w:r>
      <w:r>
        <w:t xml:space="preserve"> </w:t>
      </w:r>
      <w:r>
        <w:t xml:space="preserve">– интервал (Interval): временной интервал для периодических отчетов о пропускной способности (по умолчанию временной интервал равен 1 секунде);</w:t>
      </w:r>
      <w:r>
        <w:t xml:space="preserve"> </w:t>
      </w:r>
      <w:r>
        <w:t xml:space="preserve">– передача (Transfer): сколько данных было передано за каждый интервал времени;</w:t>
      </w:r>
      <w:r>
        <w:t xml:space="preserve"> </w:t>
      </w:r>
      <w:r>
        <w:t xml:space="preserve">– пропускная способность (Bitrate): измеренная пропускная способность в каждом временном интервале;</w:t>
      </w:r>
      <w:r>
        <w:t xml:space="preserve"> </w:t>
      </w:r>
      <w:r>
        <w:t xml:space="preserve">– Retr: количество повторно переданных TCP-сегментов за каждый временной интервал (это поле увеличивается,когда TCP-сегменты теряются в сети из-за перегрузки или повреждения);</w:t>
      </w:r>
      <w:r>
        <w:t xml:space="preserve"> </w:t>
      </w:r>
      <w:r>
        <w:t xml:space="preserve">– Cwnd: указывает размер окна перегрузки в каждом временном интервале (TCP использует эту переменную для ограничения объёма данных, которые TCP-клиент может отправить до получения подтверждения отправленных данных).</w:t>
      </w:r>
      <w:r>
        <w:t xml:space="preserve"> </w:t>
      </w:r>
      <w:r>
        <w:t xml:space="preserve">Суммарные данные на сервере аналогичны данным на стороне клиента iPerf3 и должны интерпретироваться таким же образом.</w:t>
      </w:r>
    </w:p>
    <w:p>
      <w:pPr>
        <w:pStyle w:val="BodyText"/>
      </w:pPr>
      <w:r>
        <w:t xml:space="preserve">Провела аналогичный эксперимент в интерфейсе iperf3: запустила сервер на h2 и клиент на h1. После завершения остановила серверный процесс. (рис. 9-10).</w:t>
      </w:r>
    </w:p>
    <w:bookmarkStart w:id="48" w:name="fig:009"/>
    <w:p>
      <w:pPr>
        <w:pStyle w:val="CaptionedFigure"/>
      </w:pPr>
      <w:r>
        <w:drawing>
          <wp:inline>
            <wp:extent cx="3293754" cy="2020297"/>
            <wp:effectExtent b="0" l="0" r="0" t="0"/>
            <wp:docPr descr="Рис. 9: Интерактивный эксперимент в интерфейсе iperf3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54" cy="202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Интерактивный эксперимент в интерфейсе iperf3</w:t>
      </w:r>
    </w:p>
    <w:bookmarkEnd w:id="48"/>
    <w:bookmarkStart w:id="52" w:name="fig:010"/>
    <w:p>
      <w:pPr>
        <w:pStyle w:val="CaptionedFigure"/>
      </w:pPr>
      <w:r>
        <w:drawing>
          <wp:inline>
            <wp:extent cx="3265030" cy="2326693"/>
            <wp:effectExtent b="0" l="0" r="0" t="0"/>
            <wp:docPr descr="Рис. 10: Остановка серверного процесс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30" cy="2326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Остановка серверного процесса</w:t>
      </w:r>
    </w:p>
    <w:bookmarkEnd w:id="52"/>
    <w:p>
      <w:pPr>
        <w:pStyle w:val="BodyText"/>
      </w:pPr>
      <w:r>
        <w:t xml:space="preserve">В первом случае был больше объем передаваемых данных (Cwnd), во втором случае на один временной интервал меньше.</w:t>
      </w:r>
    </w:p>
    <w:p>
      <w:pPr>
        <w:pStyle w:val="BodyText"/>
      </w:pPr>
      <w:r>
        <w:t xml:space="preserve">Далее провела интерактивный эксперимент с измененным временем передачи (по умолчанию - 10 секунд, параметр -t)(рис. 11).</w:t>
      </w:r>
    </w:p>
    <w:bookmarkStart w:id="56" w:name="fig:011"/>
    <w:p>
      <w:pPr>
        <w:pStyle w:val="CaptionedFigure"/>
      </w:pPr>
      <w:r>
        <w:drawing>
          <wp:inline>
            <wp:extent cx="3705474" cy="5620448"/>
            <wp:effectExtent b="0" l="0" r="0" t="0"/>
            <wp:docPr descr="Рис. 11: Интерактивный эксперимент c изменением времени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74" cy="5620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Интерактивный эксперимент c изменением времени</w:t>
      </w:r>
    </w:p>
    <w:bookmarkEnd w:id="56"/>
    <w:p>
      <w:pPr>
        <w:pStyle w:val="BodyText"/>
      </w:pPr>
      <w:r>
        <w:t xml:space="preserve">Далее провела интерактивный эксперимент с 2-секундным интервалом времени отсчёта как на клиенте, так и на сервере.(рис. 12).</w:t>
      </w:r>
    </w:p>
    <w:bookmarkStart w:id="60" w:name="fig:012"/>
    <w:p>
      <w:pPr>
        <w:pStyle w:val="CaptionedFigure"/>
      </w:pPr>
      <w:r>
        <w:drawing>
          <wp:inline>
            <wp:extent cx="3657600" cy="4844883"/>
            <wp:effectExtent b="0" l="0" r="0" t="0"/>
            <wp:docPr descr="Рис. 12: Интерактивный эксперимент c изменением интервала отсчета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44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Интерактивный эксперимент c изменением интервала отсчета</w:t>
      </w:r>
    </w:p>
    <w:bookmarkEnd w:id="60"/>
    <w:p>
      <w:pPr>
        <w:pStyle w:val="BodyText"/>
      </w:pPr>
      <w:r>
        <w:t xml:space="preserve">Далее провела интерактивный эксперимент с изменением объема отправляемых данных(Transfer, 16 Гбайт).(рис. 13).</w:t>
      </w:r>
    </w:p>
    <w:bookmarkStart w:id="64" w:name="fig:013"/>
    <w:p>
      <w:pPr>
        <w:pStyle w:val="CaptionedFigure"/>
      </w:pPr>
      <w:r>
        <w:drawing>
          <wp:inline>
            <wp:extent cx="3590575" cy="4816159"/>
            <wp:effectExtent b="0" l="0" r="0" t="0"/>
            <wp:docPr descr="Рис. 13: Интерактивный эксперимент c изменением объема данных" title="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75" cy="4816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Интерактивный эксперимент c изменением объема данных</w:t>
      </w:r>
    </w:p>
    <w:bookmarkEnd w:id="64"/>
    <w:p>
      <w:pPr>
        <w:pStyle w:val="BodyText"/>
      </w:pPr>
      <w:r>
        <w:t xml:space="preserve">Далее провела интерактивный эксперимент с изменением протокола передачи данных с TCP на UDP.(рис. 14).</w:t>
      </w:r>
    </w:p>
    <w:bookmarkStart w:id="68" w:name="fig:014"/>
    <w:p>
      <w:pPr>
        <w:pStyle w:val="CaptionedFigure"/>
      </w:pPr>
      <w:r>
        <w:drawing>
          <wp:inline>
            <wp:extent cx="3715049" cy="5773646"/>
            <wp:effectExtent b="0" l="0" r="0" t="0"/>
            <wp:docPr descr="Рис. 14: Интерактивный эксперимент c изменением протокола" title="" id="66" name="Picture"/>
            <a:graphic>
              <a:graphicData uri="http://schemas.openxmlformats.org/drawingml/2006/picture">
                <pic:pic>
                  <pic:nvPicPr>
                    <pic:cNvPr descr="image/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049" cy="5773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Интерактивный эксперимент c изменением протокола</w:t>
      </w:r>
    </w:p>
    <w:bookmarkEnd w:id="68"/>
    <w:p>
      <w:pPr>
        <w:pStyle w:val="BodyText"/>
      </w:pPr>
      <w:r>
        <w:t xml:space="preserve">Послезавершения теста отобразились следующие сводные данные:</w:t>
      </w:r>
      <w:r>
        <w:t xml:space="preserve"> </w:t>
      </w:r>
      <w:r>
        <w:t xml:space="preserve">– ID, интервал, передача, битрейт: то же,что и у TCP.</w:t>
      </w:r>
      <w:r>
        <w:t xml:space="preserve"> </w:t>
      </w:r>
      <w:r>
        <w:t xml:space="preserve">– Jitter: разница в задержке пакетов.</w:t>
      </w:r>
      <w:r>
        <w:t xml:space="preserve"> </w:t>
      </w:r>
      <w:r>
        <w:t xml:space="preserve">– Lost/Total: указывает количество потерянных дейтаграмм по сравнению с общим количеством отправленных на сервер (и процентное соотношение).</w:t>
      </w:r>
    </w:p>
    <w:p>
      <w:pPr>
        <w:pStyle w:val="BodyText"/>
      </w:pPr>
      <w:r>
        <w:t xml:space="preserve">Далее провела интерактивный эксперимент с изменением порта для отаправки и получения пакетов или датаграмм.(рис. 15).</w:t>
      </w:r>
    </w:p>
    <w:bookmarkStart w:id="72" w:name="fig:015"/>
    <w:p>
      <w:pPr>
        <w:pStyle w:val="CaptionedFigure"/>
      </w:pPr>
      <w:r>
        <w:drawing>
          <wp:inline>
            <wp:extent cx="3715049" cy="5371501"/>
            <wp:effectExtent b="0" l="0" r="0" t="0"/>
            <wp:docPr descr="Рис. 15: Интерактивный эксперимент c изменением порта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049" cy="5371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Интерактивный эксперимент c изменением порта</w:t>
      </w:r>
    </w:p>
    <w:bookmarkEnd w:id="72"/>
    <w:p>
      <w:pPr>
        <w:pStyle w:val="BodyText"/>
      </w:pPr>
      <w:r>
        <w:t xml:space="preserve">Далее провела интерактивный эксперимент с изменением параметра обработки данных (только от одного клиента с остановкой сервера по завершении теста).(рис. 16).</w:t>
      </w:r>
    </w:p>
    <w:bookmarkStart w:id="76" w:name="fig:016"/>
    <w:p>
      <w:pPr>
        <w:pStyle w:val="CaptionedFigure"/>
      </w:pPr>
      <w:r>
        <w:drawing>
          <wp:inline>
            <wp:extent cx="3724624" cy="5476825"/>
            <wp:effectExtent b="0" l="0" r="0" t="0"/>
            <wp:docPr descr="Рис. 16: Интерактивный эксперимент c изменением параметра" title="" id="74" name="Picture"/>
            <a:graphic>
              <a:graphicData uri="http://schemas.openxmlformats.org/drawingml/2006/picture">
                <pic:pic>
                  <pic:nvPicPr>
                    <pic:cNvPr descr="image/1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24" cy="54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Интерактивный эксперимент c изменением параметра</w:t>
      </w:r>
    </w:p>
    <w:bookmarkEnd w:id="76"/>
    <w:p>
      <w:pPr>
        <w:pStyle w:val="BodyText"/>
      </w:pPr>
      <w:r>
        <w:t xml:space="preserve">Экспортировала вывод результатов теста в формате JSON в файл, перенаправив стандартный вывод в файл (рис. 17).</w:t>
      </w:r>
    </w:p>
    <w:bookmarkStart w:id="80" w:name="fig:017"/>
    <w:p>
      <w:pPr>
        <w:pStyle w:val="CaptionedFigure"/>
      </w:pPr>
      <w:r>
        <w:drawing>
          <wp:inline>
            <wp:extent cx="3733800" cy="285093"/>
            <wp:effectExtent b="0" l="0" r="0" t="0"/>
            <wp:docPr descr="Рис. 17: Экспорт результатов теста" title="" id="78" name="Picture"/>
            <a:graphic>
              <a:graphicData uri="http://schemas.openxmlformats.org/drawingml/2006/picture">
                <pic:pic>
                  <pic:nvPicPr>
                    <pic:cNvPr descr="image/17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Экспорт результатов теста</w:t>
      </w:r>
    </w:p>
    <w:bookmarkEnd w:id="80"/>
    <w:p>
      <w:pPr>
        <w:pStyle w:val="BodyText"/>
      </w:pPr>
      <w:r>
        <w:t xml:space="preserve">Перешла в каталог для работы над проектом и скорректировала права доступа к файлу JSON (рис. 18).</w:t>
      </w:r>
    </w:p>
    <w:bookmarkStart w:id="84" w:name="fig:018"/>
    <w:p>
      <w:pPr>
        <w:pStyle w:val="CaptionedFigure"/>
      </w:pPr>
      <w:r>
        <w:drawing>
          <wp:inline>
            <wp:extent cx="3092682" cy="785139"/>
            <wp:effectExtent b="0" l="0" r="0" t="0"/>
            <wp:docPr descr="Рис. 18: Корректировка прав доступа" title="" id="82" name="Picture"/>
            <a:graphic>
              <a:graphicData uri="http://schemas.openxmlformats.org/drawingml/2006/picture">
                <pic:pic>
                  <pic:nvPicPr>
                    <pic:cNvPr descr="image/18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82" cy="785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Корректировка прав доступа</w:t>
      </w:r>
    </w:p>
    <w:bookmarkEnd w:id="84"/>
    <w:p>
      <w:pPr>
        <w:pStyle w:val="BodyText"/>
      </w:pPr>
      <w:r>
        <w:t xml:space="preserve">Сгенерировала выходные данные для файла JSON, выполнив команду</w:t>
      </w:r>
      <w:r>
        <w:t xml:space="preserve"> </w:t>
      </w:r>
      <w:r>
        <w:rPr>
          <w:rStyle w:val="VerbatimChar"/>
        </w:rPr>
        <w:t xml:space="preserve">plot_iperf.sh iperf3_results.json</w:t>
      </w:r>
      <w:r>
        <w:t xml:space="preserve">. Убедилась, что файлы с данными и графиками сформировались. (рис. 19).</w:t>
      </w:r>
    </w:p>
    <w:bookmarkStart w:id="88" w:name="fig:019"/>
    <w:p>
      <w:pPr>
        <w:pStyle w:val="CaptionedFigure"/>
      </w:pPr>
      <w:r>
        <w:drawing>
          <wp:inline>
            <wp:extent cx="3140557" cy="1062810"/>
            <wp:effectExtent b="0" l="0" r="0" t="0"/>
            <wp:docPr descr="Рис. 19: Результаты" title="" id="86" name="Picture"/>
            <a:graphic>
              <a:graphicData uri="http://schemas.openxmlformats.org/drawingml/2006/picture">
                <pic:pic>
                  <pic:nvPicPr>
                    <pic:cNvPr descr="image/19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557" cy="106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Результаты</w:t>
      </w:r>
    </w:p>
    <w:bookmarkEnd w:id="88"/>
    <w:bookmarkEnd w:id="89"/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познакомилась с инструментом для измерения пропускной способности сети в режиме реального времени —iPerf3, а также получила навыки проведения интерактивного эксперимента по измерению пропускной способности моделируемой сети в среде Mininet.</w:t>
      </w:r>
    </w:p>
    <w:bookmarkEnd w:id="91"/>
    <w:bookmarkStart w:id="93" w:name="список-литературы"/>
    <w:p>
      <w:pPr>
        <w:pStyle w:val="Heading1"/>
      </w:pPr>
      <w:r>
        <w:t xml:space="preserve">Список литературы</w:t>
      </w:r>
    </w:p>
    <w:bookmarkStart w:id="92" w:name="refs"/>
    <w:bookmarkEnd w:id="92"/>
    <w:bookmarkEnd w:id="9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</dc:title>
  <dc:creator>Доберштейн Алина Сергеевна</dc:creator>
  <dc:language>ru-RU</dc:language>
  <cp:keywords/>
  <dcterms:created xsi:type="dcterms:W3CDTF">2025-09-13T22:43:39Z</dcterms:created>
  <dcterms:modified xsi:type="dcterms:W3CDTF">2025-09-13T22:43:39Z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OfMetadata">
    <vt:lpwstr>False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False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FreeSerif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options">
    <vt:lpwstr/>
  </property>
  <property fmtid="{D5CDD505-2E9C-101B-9397-08002B2CF9AE}" pid="64" name="monofont">
    <vt:lpwstr>FreeSerif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FreeSerif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FreeSerif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Моделирование сетей передачи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